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561" w:rsidRDefault="006E7561" w:rsidP="00852C75">
      <w:pPr>
        <w:pStyle w:val="En-tte"/>
        <w:tabs>
          <w:tab w:val="clear" w:pos="8640"/>
          <w:tab w:val="right" w:pos="9072"/>
        </w:tabs>
        <w:ind w:left="-142" w:right="-432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6E7561" w:rsidRDefault="00515E2E" w:rsidP="00515E2E">
      <w:pPr>
        <w:pStyle w:val="En-tte"/>
        <w:tabs>
          <w:tab w:val="clear" w:pos="8640"/>
          <w:tab w:val="right" w:pos="9072"/>
        </w:tabs>
        <w:ind w:right="-432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Reference Page</w:t>
      </w:r>
      <w:r w:rsidR="006E7561" w:rsidRPr="006E7561">
        <w:rPr>
          <w:rFonts w:ascii="Arial" w:hAnsi="Arial" w:cs="Arial"/>
          <w:b/>
          <w:sz w:val="28"/>
          <w:szCs w:val="28"/>
        </w:rPr>
        <w:t xml:space="preserve"> for Teachers</w:t>
      </w:r>
    </w:p>
    <w:p w:rsidR="00515E2E" w:rsidRDefault="00515E2E" w:rsidP="00515E2E">
      <w:pPr>
        <w:pStyle w:val="En-tte"/>
        <w:tabs>
          <w:tab w:val="clear" w:pos="8640"/>
          <w:tab w:val="right" w:pos="9072"/>
        </w:tabs>
        <w:ind w:right="-432"/>
        <w:jc w:val="center"/>
        <w:rPr>
          <w:rFonts w:ascii="Arial" w:hAnsi="Arial" w:cs="Arial"/>
          <w:b/>
          <w:sz w:val="28"/>
          <w:szCs w:val="28"/>
        </w:rPr>
      </w:pPr>
    </w:p>
    <w:p w:rsidR="007B2907" w:rsidRPr="00A05D60" w:rsidRDefault="006E7561" w:rsidP="006E7561">
      <w:pPr>
        <w:pStyle w:val="En-tte"/>
        <w:tabs>
          <w:tab w:val="clear" w:pos="8640"/>
          <w:tab w:val="right" w:pos="9072"/>
        </w:tabs>
        <w:ind w:right="-43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 xml:space="preserve">The </w:t>
      </w:r>
      <w:r w:rsidR="007B2907">
        <w:rPr>
          <w:rFonts w:ascii="Arial" w:hAnsi="Arial" w:cs="Arial"/>
          <w:b/>
          <w:sz w:val="24"/>
          <w:szCs w:val="24"/>
        </w:rPr>
        <w:t>Article Writing</w:t>
      </w:r>
      <w:r>
        <w:rPr>
          <w:rFonts w:ascii="Arial" w:hAnsi="Arial" w:cs="Arial"/>
          <w:b/>
          <w:sz w:val="24"/>
          <w:szCs w:val="24"/>
        </w:rPr>
        <w:t xml:space="preserve"> Toolkit</w:t>
      </w:r>
      <w:r w:rsidR="007B2907">
        <w:rPr>
          <w:rFonts w:ascii="Arial" w:hAnsi="Arial" w:cs="Arial"/>
          <w:b/>
          <w:sz w:val="24"/>
          <w:szCs w:val="24"/>
        </w:rPr>
        <w:t xml:space="preserve"> </w:t>
      </w:r>
      <w:r w:rsidR="007B2907">
        <w:rPr>
          <w:rFonts w:ascii="Arial" w:hAnsi="Arial" w:cs="Arial"/>
          <w:sz w:val="24"/>
          <w:szCs w:val="24"/>
        </w:rPr>
        <w:t xml:space="preserve">can be used with students currently registered in the </w:t>
      </w:r>
      <w:r w:rsidR="00852C75">
        <w:rPr>
          <w:rFonts w:ascii="Arial" w:hAnsi="Arial" w:cs="Arial"/>
          <w:sz w:val="24"/>
          <w:szCs w:val="24"/>
        </w:rPr>
        <w:t xml:space="preserve">second cycle </w:t>
      </w:r>
      <w:r w:rsidR="007B2907">
        <w:rPr>
          <w:rFonts w:ascii="Arial" w:hAnsi="Arial" w:cs="Arial"/>
          <w:sz w:val="24"/>
          <w:szCs w:val="24"/>
        </w:rPr>
        <w:t>Core, EESL or ELA programs. Students should be exposed to various text types throughout the academic year. However, during the third term</w:t>
      </w:r>
      <w:r w:rsidR="00852C75">
        <w:rPr>
          <w:rFonts w:ascii="Arial" w:hAnsi="Arial" w:cs="Arial"/>
          <w:sz w:val="24"/>
          <w:szCs w:val="24"/>
        </w:rPr>
        <w:t xml:space="preserve">, secondary 5 students should practice </w:t>
      </w:r>
      <w:r w:rsidR="007B2907">
        <w:rPr>
          <w:rFonts w:ascii="Arial" w:hAnsi="Arial" w:cs="Arial"/>
          <w:sz w:val="24"/>
          <w:szCs w:val="24"/>
        </w:rPr>
        <w:t>the text type they will be evaluated on in June.</w:t>
      </w:r>
    </w:p>
    <w:p w:rsidR="007B2907" w:rsidRPr="007B2907" w:rsidRDefault="007B2907" w:rsidP="00547DA4">
      <w:pPr>
        <w:pStyle w:val="En-tte"/>
        <w:rPr>
          <w:rFonts w:ascii="Arial" w:hAnsi="Arial" w:cs="Arial"/>
          <w:b/>
          <w:sz w:val="24"/>
          <w:szCs w:val="24"/>
        </w:rPr>
      </w:pPr>
    </w:p>
    <w:tbl>
      <w:tblPr>
        <w:tblStyle w:val="Grilledutableau"/>
        <w:tblW w:w="9180" w:type="dxa"/>
        <w:tblLook w:val="04A0" w:firstRow="1" w:lastRow="0" w:firstColumn="1" w:lastColumn="0" w:noHBand="0" w:noVBand="1"/>
      </w:tblPr>
      <w:tblGrid>
        <w:gridCol w:w="1951"/>
        <w:gridCol w:w="7229"/>
      </w:tblGrid>
      <w:tr w:rsidR="007B2907" w:rsidTr="00A05D60">
        <w:tc>
          <w:tcPr>
            <w:tcW w:w="9180" w:type="dxa"/>
            <w:gridSpan w:val="2"/>
          </w:tcPr>
          <w:p w:rsidR="007B2907" w:rsidRDefault="007B2907" w:rsidP="007B2907">
            <w:pPr>
              <w:pStyle w:val="En-tte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Text Types for June MELS Evaluations</w:t>
            </w:r>
          </w:p>
        </w:tc>
      </w:tr>
      <w:tr w:rsidR="007B2907" w:rsidTr="00A05D60">
        <w:tc>
          <w:tcPr>
            <w:tcW w:w="1951" w:type="dxa"/>
          </w:tcPr>
          <w:p w:rsidR="007B2907" w:rsidRDefault="007B2907" w:rsidP="00547DA4">
            <w:pPr>
              <w:pStyle w:val="En-tte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Core Program</w:t>
            </w:r>
          </w:p>
        </w:tc>
        <w:tc>
          <w:tcPr>
            <w:tcW w:w="7229" w:type="dxa"/>
          </w:tcPr>
          <w:p w:rsidR="007B2907" w:rsidRDefault="007B2907" w:rsidP="00547DA4">
            <w:pPr>
              <w:pStyle w:val="En-tte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Opinion Piece</w:t>
            </w:r>
          </w:p>
        </w:tc>
      </w:tr>
      <w:tr w:rsidR="007B2907" w:rsidTr="00A05D60">
        <w:tc>
          <w:tcPr>
            <w:tcW w:w="1951" w:type="dxa"/>
          </w:tcPr>
          <w:p w:rsidR="007B2907" w:rsidRDefault="007B2907" w:rsidP="00547DA4">
            <w:pPr>
              <w:pStyle w:val="En-tte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EESL Program</w:t>
            </w:r>
          </w:p>
        </w:tc>
        <w:tc>
          <w:tcPr>
            <w:tcW w:w="7229" w:type="dxa"/>
          </w:tcPr>
          <w:p w:rsidR="007B2907" w:rsidRDefault="007B2907" w:rsidP="00547DA4">
            <w:pPr>
              <w:pStyle w:val="En-tte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Feature Article</w:t>
            </w:r>
          </w:p>
        </w:tc>
      </w:tr>
      <w:tr w:rsidR="007B2907" w:rsidTr="00A05D60">
        <w:tc>
          <w:tcPr>
            <w:tcW w:w="1951" w:type="dxa"/>
          </w:tcPr>
          <w:p w:rsidR="007B2907" w:rsidRDefault="007B2907" w:rsidP="00547DA4">
            <w:pPr>
              <w:pStyle w:val="En-tte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ELA Program</w:t>
            </w:r>
          </w:p>
        </w:tc>
        <w:tc>
          <w:tcPr>
            <w:tcW w:w="7229" w:type="dxa"/>
          </w:tcPr>
          <w:p w:rsidR="007B2907" w:rsidRDefault="00A05D60" w:rsidP="00547DA4">
            <w:pPr>
              <w:pStyle w:val="En-tte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Choice: </w:t>
            </w:r>
            <w:r w:rsidR="007B2907">
              <w:rPr>
                <w:rFonts w:ascii="Arial" w:hAnsi="Arial" w:cs="Arial"/>
                <w:b/>
                <w:sz w:val="24"/>
                <w:szCs w:val="24"/>
              </w:rPr>
              <w:t>Comment/Analysis</w:t>
            </w:r>
            <w:r>
              <w:rPr>
                <w:rFonts w:ascii="Arial" w:hAnsi="Arial" w:cs="Arial"/>
                <w:b/>
                <w:sz w:val="24"/>
                <w:szCs w:val="24"/>
              </w:rPr>
              <w:t>, Feature Article or Opinion piece</w:t>
            </w:r>
          </w:p>
        </w:tc>
      </w:tr>
    </w:tbl>
    <w:p w:rsidR="007B2907" w:rsidRPr="007B2907" w:rsidRDefault="007B2907" w:rsidP="00547DA4">
      <w:pPr>
        <w:pStyle w:val="En-tte"/>
        <w:rPr>
          <w:rFonts w:ascii="Arial" w:hAnsi="Arial" w:cs="Arial"/>
          <w:b/>
          <w:sz w:val="24"/>
          <w:szCs w:val="24"/>
        </w:rPr>
      </w:pPr>
    </w:p>
    <w:p w:rsidR="00100778" w:rsidRDefault="00547DA4" w:rsidP="00852C75">
      <w:pPr>
        <w:pStyle w:val="En-tte"/>
        <w:tabs>
          <w:tab w:val="clear" w:pos="8640"/>
          <w:tab w:val="right" w:pos="9072"/>
        </w:tabs>
        <w:ind w:right="-432"/>
        <w:jc w:val="both"/>
        <w:rPr>
          <w:rFonts w:ascii="Arial" w:hAnsi="Arial" w:cs="Arial"/>
          <w:sz w:val="24"/>
          <w:szCs w:val="24"/>
        </w:rPr>
      </w:pPr>
      <w:r w:rsidRPr="007B2907">
        <w:rPr>
          <w:rFonts w:ascii="Arial" w:hAnsi="Arial" w:cs="Arial"/>
          <w:sz w:val="24"/>
          <w:szCs w:val="24"/>
        </w:rPr>
        <w:t xml:space="preserve">This </w:t>
      </w:r>
      <w:r w:rsidR="0040179B" w:rsidRPr="007B2907">
        <w:rPr>
          <w:rFonts w:ascii="Arial" w:hAnsi="Arial" w:cs="Arial"/>
          <w:b/>
          <w:sz w:val="24"/>
          <w:szCs w:val="24"/>
        </w:rPr>
        <w:t>Article Writing</w:t>
      </w:r>
      <w:r w:rsidR="0040179B" w:rsidRPr="006445A8">
        <w:rPr>
          <w:rFonts w:ascii="Arial" w:hAnsi="Arial" w:cs="Arial"/>
          <w:b/>
          <w:sz w:val="24"/>
          <w:szCs w:val="24"/>
        </w:rPr>
        <w:t xml:space="preserve"> </w:t>
      </w:r>
      <w:r w:rsidR="006445A8">
        <w:rPr>
          <w:rFonts w:ascii="Arial" w:hAnsi="Arial" w:cs="Arial"/>
          <w:b/>
          <w:sz w:val="24"/>
          <w:szCs w:val="24"/>
        </w:rPr>
        <w:t>T</w:t>
      </w:r>
      <w:r w:rsidRPr="006445A8">
        <w:rPr>
          <w:rFonts w:ascii="Arial" w:hAnsi="Arial" w:cs="Arial"/>
          <w:b/>
          <w:sz w:val="24"/>
          <w:szCs w:val="24"/>
        </w:rPr>
        <w:t>oolkit</w:t>
      </w:r>
      <w:r w:rsidRPr="007B2907">
        <w:rPr>
          <w:rFonts w:ascii="Arial" w:hAnsi="Arial" w:cs="Arial"/>
          <w:sz w:val="24"/>
          <w:szCs w:val="24"/>
        </w:rPr>
        <w:t xml:space="preserve"> </w:t>
      </w:r>
      <w:r w:rsidR="00A05D60">
        <w:rPr>
          <w:rFonts w:ascii="Arial" w:hAnsi="Arial" w:cs="Arial"/>
          <w:sz w:val="24"/>
          <w:szCs w:val="24"/>
        </w:rPr>
        <w:t>is used t</w:t>
      </w:r>
      <w:r w:rsidR="00100778" w:rsidRPr="007B2907">
        <w:rPr>
          <w:rFonts w:ascii="Arial" w:hAnsi="Arial" w:cs="Arial"/>
          <w:sz w:val="24"/>
          <w:szCs w:val="24"/>
        </w:rPr>
        <w:t>o teach stu</w:t>
      </w:r>
      <w:r w:rsidR="00A05D60">
        <w:rPr>
          <w:rFonts w:ascii="Arial" w:hAnsi="Arial" w:cs="Arial"/>
          <w:sz w:val="24"/>
          <w:szCs w:val="24"/>
        </w:rPr>
        <w:t xml:space="preserve">dents the essential elements of </w:t>
      </w:r>
      <w:r w:rsidR="00100778" w:rsidRPr="007B2907">
        <w:rPr>
          <w:rFonts w:ascii="Arial" w:hAnsi="Arial" w:cs="Arial"/>
          <w:sz w:val="24"/>
          <w:szCs w:val="24"/>
        </w:rPr>
        <w:t xml:space="preserve">different types of newspaper articles. </w:t>
      </w:r>
      <w:r w:rsidR="006445A8">
        <w:rPr>
          <w:rFonts w:ascii="Arial" w:hAnsi="Arial" w:cs="Arial"/>
          <w:sz w:val="24"/>
          <w:szCs w:val="24"/>
        </w:rPr>
        <w:t xml:space="preserve">In the students notes document called </w:t>
      </w:r>
      <w:r w:rsidR="006445A8" w:rsidRPr="006445A8">
        <w:rPr>
          <w:rFonts w:ascii="Arial" w:hAnsi="Arial" w:cs="Arial"/>
          <w:b/>
          <w:sz w:val="24"/>
          <w:szCs w:val="24"/>
        </w:rPr>
        <w:t>Article Writing</w:t>
      </w:r>
      <w:r w:rsidR="00852C75">
        <w:rPr>
          <w:rFonts w:ascii="Arial" w:hAnsi="Arial" w:cs="Arial"/>
          <w:sz w:val="24"/>
          <w:szCs w:val="24"/>
        </w:rPr>
        <w:t xml:space="preserve">, news articles and editorials are described </w:t>
      </w:r>
      <w:r w:rsidR="00934AF3">
        <w:rPr>
          <w:rFonts w:ascii="Arial" w:hAnsi="Arial" w:cs="Arial"/>
          <w:sz w:val="24"/>
          <w:szCs w:val="24"/>
        </w:rPr>
        <w:t xml:space="preserve">(as a </w:t>
      </w:r>
      <w:r w:rsidR="00934AF3" w:rsidRPr="00934AF3">
        <w:rPr>
          <w:rFonts w:ascii="Arial" w:hAnsi="Arial" w:cs="Arial"/>
          <w:b/>
          <w:sz w:val="24"/>
          <w:szCs w:val="24"/>
        </w:rPr>
        <w:t>foundation</w:t>
      </w:r>
      <w:r w:rsidR="006445A8">
        <w:rPr>
          <w:rFonts w:ascii="Arial" w:hAnsi="Arial" w:cs="Arial"/>
          <w:sz w:val="24"/>
          <w:szCs w:val="24"/>
        </w:rPr>
        <w:t xml:space="preserve"> of</w:t>
      </w:r>
      <w:r w:rsidR="00934AF3">
        <w:rPr>
          <w:rFonts w:ascii="Arial" w:hAnsi="Arial" w:cs="Arial"/>
          <w:sz w:val="24"/>
          <w:szCs w:val="24"/>
        </w:rPr>
        <w:t xml:space="preserve"> newspaper articles) </w:t>
      </w:r>
      <w:r w:rsidR="00852C75">
        <w:rPr>
          <w:rFonts w:ascii="Arial" w:hAnsi="Arial" w:cs="Arial"/>
          <w:sz w:val="24"/>
          <w:szCs w:val="24"/>
        </w:rPr>
        <w:t>to review what should have been worked on in either secondary 3 or 4</w:t>
      </w:r>
      <w:r w:rsidR="001271C6">
        <w:rPr>
          <w:rFonts w:ascii="Arial" w:hAnsi="Arial" w:cs="Arial"/>
          <w:sz w:val="24"/>
          <w:szCs w:val="24"/>
        </w:rPr>
        <w:t xml:space="preserve">. Therefore, no activities accompany those text types. </w:t>
      </w:r>
      <w:r w:rsidR="00852C75">
        <w:rPr>
          <w:rFonts w:ascii="Arial" w:hAnsi="Arial" w:cs="Arial"/>
          <w:sz w:val="24"/>
          <w:szCs w:val="24"/>
        </w:rPr>
        <w:t>The authentic texts in this toolkit are geared towards secondary 5 students</w:t>
      </w:r>
      <w:r w:rsidR="00934AF3">
        <w:rPr>
          <w:rFonts w:ascii="Arial" w:hAnsi="Arial" w:cs="Arial"/>
          <w:sz w:val="24"/>
          <w:szCs w:val="24"/>
        </w:rPr>
        <w:t xml:space="preserve"> and are scaffolded in order of difficulty (</w:t>
      </w:r>
      <w:r w:rsidR="00934AF3" w:rsidRPr="00934AF3">
        <w:rPr>
          <w:rFonts w:ascii="Arial" w:hAnsi="Arial" w:cs="Arial"/>
          <w:b/>
          <w:sz w:val="24"/>
          <w:szCs w:val="24"/>
        </w:rPr>
        <w:t>proficiency</w:t>
      </w:r>
      <w:r w:rsidR="00934AF3">
        <w:rPr>
          <w:rFonts w:ascii="Arial" w:hAnsi="Arial" w:cs="Arial"/>
          <w:sz w:val="24"/>
          <w:szCs w:val="24"/>
        </w:rPr>
        <w:t>)</w:t>
      </w:r>
      <w:r w:rsidR="00852C75">
        <w:rPr>
          <w:rFonts w:ascii="Arial" w:hAnsi="Arial" w:cs="Arial"/>
          <w:sz w:val="24"/>
          <w:szCs w:val="24"/>
        </w:rPr>
        <w:t xml:space="preserve">. </w:t>
      </w:r>
      <w:r w:rsidR="0035349E">
        <w:rPr>
          <w:rFonts w:ascii="Arial" w:hAnsi="Arial" w:cs="Arial"/>
          <w:sz w:val="24"/>
          <w:szCs w:val="24"/>
        </w:rPr>
        <w:t>With the help of their teacher, s</w:t>
      </w:r>
      <w:r w:rsidR="00100778" w:rsidRPr="007B2907">
        <w:rPr>
          <w:rFonts w:ascii="Arial" w:hAnsi="Arial" w:cs="Arial"/>
          <w:sz w:val="24"/>
          <w:szCs w:val="24"/>
        </w:rPr>
        <w:t xml:space="preserve">tudents deconstruct various articles to become familiar with the writing techniques used for each type. </w:t>
      </w:r>
      <w:r w:rsidR="00A95ED6">
        <w:rPr>
          <w:rFonts w:ascii="Arial" w:hAnsi="Arial" w:cs="Arial"/>
          <w:sz w:val="24"/>
          <w:szCs w:val="24"/>
        </w:rPr>
        <w:t xml:space="preserve">Certain activities are provided to help students </w:t>
      </w:r>
      <w:r w:rsidR="0035349E">
        <w:rPr>
          <w:rFonts w:ascii="Arial" w:hAnsi="Arial" w:cs="Arial"/>
          <w:sz w:val="24"/>
          <w:szCs w:val="24"/>
        </w:rPr>
        <w:t xml:space="preserve">identify text features present in </w:t>
      </w:r>
      <w:r w:rsidR="006E7561">
        <w:rPr>
          <w:rFonts w:ascii="Arial" w:hAnsi="Arial" w:cs="Arial"/>
          <w:sz w:val="24"/>
          <w:szCs w:val="24"/>
        </w:rPr>
        <w:t>the authentic articles provided in this toolkit</w:t>
      </w:r>
      <w:r w:rsidR="00A95ED6">
        <w:rPr>
          <w:rFonts w:ascii="Arial" w:hAnsi="Arial" w:cs="Arial"/>
          <w:sz w:val="24"/>
          <w:szCs w:val="24"/>
        </w:rPr>
        <w:t>. S</w:t>
      </w:r>
      <w:r w:rsidR="00100778" w:rsidRPr="007B2907">
        <w:rPr>
          <w:rFonts w:ascii="Arial" w:hAnsi="Arial" w:cs="Arial"/>
          <w:sz w:val="24"/>
          <w:szCs w:val="24"/>
        </w:rPr>
        <w:t xml:space="preserve">tudents </w:t>
      </w:r>
      <w:r w:rsidR="006E7561">
        <w:rPr>
          <w:rFonts w:ascii="Arial" w:hAnsi="Arial" w:cs="Arial"/>
          <w:sz w:val="24"/>
          <w:szCs w:val="24"/>
        </w:rPr>
        <w:t xml:space="preserve">can practice and </w:t>
      </w:r>
      <w:r w:rsidR="00100778" w:rsidRPr="007B2907">
        <w:rPr>
          <w:rFonts w:ascii="Arial" w:hAnsi="Arial" w:cs="Arial"/>
          <w:sz w:val="24"/>
          <w:szCs w:val="24"/>
        </w:rPr>
        <w:t xml:space="preserve">reinvest </w:t>
      </w:r>
      <w:r w:rsidR="006E7561">
        <w:rPr>
          <w:rFonts w:ascii="Arial" w:hAnsi="Arial" w:cs="Arial"/>
          <w:sz w:val="24"/>
          <w:szCs w:val="24"/>
        </w:rPr>
        <w:t>some of the</w:t>
      </w:r>
      <w:r w:rsidR="00100778" w:rsidRPr="007B2907">
        <w:rPr>
          <w:rFonts w:ascii="Arial" w:hAnsi="Arial" w:cs="Arial"/>
          <w:sz w:val="24"/>
          <w:szCs w:val="24"/>
        </w:rPr>
        <w:t xml:space="preserve"> </w:t>
      </w:r>
      <w:r w:rsidR="00A95ED6">
        <w:rPr>
          <w:rFonts w:ascii="Arial" w:hAnsi="Arial" w:cs="Arial"/>
          <w:sz w:val="24"/>
          <w:szCs w:val="24"/>
        </w:rPr>
        <w:t>technique</w:t>
      </w:r>
      <w:r w:rsidR="00100778" w:rsidRPr="007B2907">
        <w:rPr>
          <w:rFonts w:ascii="Arial" w:hAnsi="Arial" w:cs="Arial"/>
          <w:sz w:val="24"/>
          <w:szCs w:val="24"/>
        </w:rPr>
        <w:t xml:space="preserve">s </w:t>
      </w:r>
      <w:r w:rsidR="006E7561">
        <w:rPr>
          <w:rFonts w:ascii="Arial" w:hAnsi="Arial" w:cs="Arial"/>
          <w:sz w:val="24"/>
          <w:szCs w:val="24"/>
        </w:rPr>
        <w:t xml:space="preserve">described in the notes section </w:t>
      </w:r>
      <w:r w:rsidR="00517561" w:rsidRPr="007B2907">
        <w:rPr>
          <w:rFonts w:ascii="Arial" w:hAnsi="Arial" w:cs="Arial"/>
          <w:sz w:val="24"/>
          <w:szCs w:val="24"/>
        </w:rPr>
        <w:t xml:space="preserve">by writing </w:t>
      </w:r>
      <w:r w:rsidR="00100778" w:rsidRPr="007B2907">
        <w:rPr>
          <w:rFonts w:ascii="Arial" w:hAnsi="Arial" w:cs="Arial"/>
          <w:sz w:val="24"/>
          <w:szCs w:val="24"/>
        </w:rPr>
        <w:t>their own articles.</w:t>
      </w:r>
    </w:p>
    <w:p w:rsidR="00852C75" w:rsidRPr="007B2907" w:rsidRDefault="00852C75" w:rsidP="00852C75">
      <w:pPr>
        <w:pStyle w:val="En-tte"/>
        <w:tabs>
          <w:tab w:val="clear" w:pos="8640"/>
          <w:tab w:val="right" w:pos="9072"/>
        </w:tabs>
        <w:ind w:right="-432"/>
        <w:jc w:val="both"/>
        <w:rPr>
          <w:rFonts w:ascii="Arial" w:hAnsi="Arial" w:cs="Arial"/>
          <w:sz w:val="24"/>
          <w:szCs w:val="24"/>
        </w:rPr>
      </w:pPr>
    </w:p>
    <w:p w:rsidR="00517561" w:rsidRPr="007C53BC" w:rsidRDefault="006E7561" w:rsidP="00490D46">
      <w:pPr>
        <w:pStyle w:val="En-tte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The </w:t>
      </w:r>
      <w:r w:rsidR="00517561" w:rsidRPr="007B2907">
        <w:rPr>
          <w:rFonts w:ascii="Arial" w:hAnsi="Arial" w:cs="Arial"/>
          <w:b/>
          <w:sz w:val="24"/>
          <w:szCs w:val="24"/>
        </w:rPr>
        <w:t xml:space="preserve">Article </w:t>
      </w:r>
      <w:r w:rsidR="00517561" w:rsidRPr="006E7561">
        <w:rPr>
          <w:rFonts w:ascii="Arial" w:hAnsi="Arial" w:cs="Arial"/>
          <w:b/>
          <w:sz w:val="24"/>
          <w:szCs w:val="24"/>
        </w:rPr>
        <w:t xml:space="preserve">Writing </w:t>
      </w:r>
      <w:r w:rsidRPr="006E7561">
        <w:rPr>
          <w:rFonts w:ascii="Arial" w:hAnsi="Arial" w:cs="Arial"/>
          <w:b/>
          <w:sz w:val="24"/>
          <w:szCs w:val="24"/>
        </w:rPr>
        <w:t>Toolkit</w:t>
      </w:r>
      <w:r>
        <w:rPr>
          <w:rFonts w:ascii="Arial" w:hAnsi="Arial" w:cs="Arial"/>
          <w:sz w:val="24"/>
          <w:szCs w:val="24"/>
        </w:rPr>
        <w:t xml:space="preserve"> </w:t>
      </w:r>
      <w:r w:rsidR="00547DA4" w:rsidRPr="007B2907">
        <w:rPr>
          <w:rFonts w:ascii="Arial" w:hAnsi="Arial" w:cs="Arial"/>
          <w:sz w:val="24"/>
          <w:szCs w:val="24"/>
        </w:rPr>
        <w:t>contains the following documents:</w:t>
      </w:r>
    </w:p>
    <w:p w:rsidR="00517561" w:rsidRPr="006E7561" w:rsidRDefault="00517561" w:rsidP="00517561">
      <w:pPr>
        <w:pStyle w:val="En-tte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E7561">
        <w:rPr>
          <w:rFonts w:ascii="Arial" w:hAnsi="Arial" w:cs="Arial"/>
          <w:sz w:val="24"/>
          <w:szCs w:val="24"/>
        </w:rPr>
        <w:t>Notes for students</w:t>
      </w:r>
      <w:r w:rsidR="007B2907" w:rsidRPr="006E7561">
        <w:rPr>
          <w:rFonts w:ascii="Arial" w:hAnsi="Arial" w:cs="Arial"/>
          <w:sz w:val="24"/>
          <w:szCs w:val="24"/>
        </w:rPr>
        <w:t xml:space="preserve">: Article Writing – </w:t>
      </w:r>
      <w:r w:rsidR="00A95ED6" w:rsidRPr="006E7561">
        <w:rPr>
          <w:rFonts w:ascii="Arial" w:hAnsi="Arial" w:cs="Arial"/>
          <w:sz w:val="24"/>
          <w:szCs w:val="24"/>
        </w:rPr>
        <w:t>Comparison</w:t>
      </w:r>
      <w:r w:rsidR="00974DAF">
        <w:rPr>
          <w:rFonts w:ascii="Arial" w:hAnsi="Arial" w:cs="Arial"/>
          <w:sz w:val="24"/>
          <w:szCs w:val="24"/>
        </w:rPr>
        <w:t xml:space="preserve"> – 8</w:t>
      </w:r>
      <w:r w:rsidRPr="006E7561">
        <w:rPr>
          <w:rFonts w:ascii="Arial" w:hAnsi="Arial" w:cs="Arial"/>
          <w:sz w:val="24"/>
          <w:szCs w:val="24"/>
        </w:rPr>
        <w:t xml:space="preserve"> pages</w:t>
      </w:r>
    </w:p>
    <w:p w:rsidR="00517561" w:rsidRPr="007C53BC" w:rsidRDefault="00852C75" w:rsidP="00517561">
      <w:pPr>
        <w:pStyle w:val="En-tte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6445A8">
        <w:rPr>
          <w:rFonts w:ascii="Arial" w:hAnsi="Arial" w:cs="Arial"/>
          <w:sz w:val="24"/>
          <w:szCs w:val="24"/>
        </w:rPr>
        <w:t xml:space="preserve"> authentic articles to deconstruct</w:t>
      </w:r>
      <w:r w:rsidR="00517561" w:rsidRPr="007C53BC">
        <w:rPr>
          <w:rFonts w:ascii="Arial" w:hAnsi="Arial" w:cs="Arial"/>
          <w:sz w:val="24"/>
          <w:szCs w:val="24"/>
        </w:rPr>
        <w:t xml:space="preserve"> with students </w:t>
      </w:r>
      <w:r w:rsidR="00517561" w:rsidRPr="00F71937">
        <w:rPr>
          <w:rFonts w:ascii="Arial" w:hAnsi="Arial" w:cs="Arial"/>
          <w:sz w:val="24"/>
          <w:szCs w:val="24"/>
        </w:rPr>
        <w:t xml:space="preserve">– </w:t>
      </w:r>
      <w:r w:rsidR="00515E2E">
        <w:rPr>
          <w:rFonts w:ascii="Arial" w:hAnsi="Arial" w:cs="Arial"/>
          <w:sz w:val="24"/>
          <w:szCs w:val="24"/>
        </w:rPr>
        <w:t>30</w:t>
      </w:r>
      <w:r w:rsidR="00517561" w:rsidRPr="00F71937">
        <w:rPr>
          <w:rFonts w:ascii="Arial" w:hAnsi="Arial" w:cs="Arial"/>
          <w:sz w:val="24"/>
          <w:szCs w:val="24"/>
        </w:rPr>
        <w:t xml:space="preserve"> pages</w:t>
      </w:r>
    </w:p>
    <w:p w:rsidR="006E7561" w:rsidRDefault="006E7561" w:rsidP="006E7561">
      <w:pPr>
        <w:pStyle w:val="En-tte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Activities for students </w:t>
      </w:r>
      <w:r w:rsidRPr="007C53BC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4 pages</w:t>
      </w:r>
      <w:r w:rsidRPr="006E7561">
        <w:rPr>
          <w:rFonts w:ascii="Arial" w:hAnsi="Arial" w:cs="Arial"/>
          <w:sz w:val="24"/>
          <w:szCs w:val="24"/>
        </w:rPr>
        <w:t xml:space="preserve"> </w:t>
      </w:r>
    </w:p>
    <w:p w:rsidR="006E7561" w:rsidRPr="006E7561" w:rsidRDefault="006E7561" w:rsidP="006E7561">
      <w:pPr>
        <w:pStyle w:val="En-tte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C53BC">
        <w:rPr>
          <w:rFonts w:ascii="Arial" w:hAnsi="Arial" w:cs="Arial"/>
          <w:sz w:val="24"/>
          <w:szCs w:val="24"/>
        </w:rPr>
        <w:t xml:space="preserve">A </w:t>
      </w:r>
      <w:r w:rsidR="00FE6100">
        <w:rPr>
          <w:rFonts w:ascii="Arial" w:hAnsi="Arial" w:cs="Arial"/>
          <w:sz w:val="24"/>
          <w:szCs w:val="24"/>
        </w:rPr>
        <w:t>reference page for teachers</w:t>
      </w:r>
      <w:r w:rsidRPr="007C53BC">
        <w:rPr>
          <w:rFonts w:ascii="Arial" w:hAnsi="Arial" w:cs="Arial"/>
          <w:sz w:val="24"/>
          <w:szCs w:val="24"/>
        </w:rPr>
        <w:t xml:space="preserve"> – this page</w:t>
      </w:r>
    </w:p>
    <w:p w:rsidR="00A05D60" w:rsidRPr="00A05D60" w:rsidRDefault="00A05D60" w:rsidP="00F779E4">
      <w:pPr>
        <w:pStyle w:val="En-tte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9180" w:type="dxa"/>
        <w:tblLook w:val="04A0" w:firstRow="1" w:lastRow="0" w:firstColumn="1" w:lastColumn="0" w:noHBand="0" w:noVBand="1"/>
      </w:tblPr>
      <w:tblGrid>
        <w:gridCol w:w="6345"/>
        <w:gridCol w:w="2282"/>
        <w:gridCol w:w="553"/>
      </w:tblGrid>
      <w:tr w:rsidR="00F779E4" w:rsidTr="001443D9">
        <w:tc>
          <w:tcPr>
            <w:tcW w:w="6345" w:type="dxa"/>
          </w:tcPr>
          <w:p w:rsidR="00F779E4" w:rsidRPr="00F779E4" w:rsidRDefault="00F779E4" w:rsidP="00547DA4">
            <w:pPr>
              <w:pStyle w:val="En-tte"/>
              <w:rPr>
                <w:rFonts w:ascii="Arial" w:hAnsi="Arial" w:cs="Arial"/>
                <w:b/>
                <w:sz w:val="24"/>
                <w:szCs w:val="24"/>
              </w:rPr>
            </w:pPr>
            <w:r w:rsidRPr="00F779E4">
              <w:rPr>
                <w:rFonts w:ascii="Arial" w:hAnsi="Arial" w:cs="Arial"/>
                <w:b/>
                <w:sz w:val="24"/>
                <w:szCs w:val="24"/>
              </w:rPr>
              <w:t>Titles</w:t>
            </w:r>
          </w:p>
        </w:tc>
        <w:tc>
          <w:tcPr>
            <w:tcW w:w="2835" w:type="dxa"/>
            <w:gridSpan w:val="2"/>
          </w:tcPr>
          <w:p w:rsidR="00F779E4" w:rsidRPr="00F779E4" w:rsidRDefault="00F779E4" w:rsidP="00547DA4">
            <w:pPr>
              <w:pStyle w:val="En-tte"/>
              <w:rPr>
                <w:rFonts w:ascii="Arial" w:hAnsi="Arial" w:cs="Arial"/>
                <w:b/>
                <w:sz w:val="24"/>
                <w:szCs w:val="24"/>
              </w:rPr>
            </w:pPr>
            <w:r w:rsidRPr="00F779E4">
              <w:rPr>
                <w:rFonts w:ascii="Arial" w:hAnsi="Arial" w:cs="Arial"/>
                <w:b/>
                <w:sz w:val="24"/>
                <w:szCs w:val="24"/>
              </w:rPr>
              <w:t>Types of Article</w:t>
            </w:r>
            <w:r w:rsidR="001443D9">
              <w:rPr>
                <w:rFonts w:ascii="Arial" w:hAnsi="Arial" w:cs="Arial"/>
                <w:b/>
                <w:sz w:val="24"/>
                <w:szCs w:val="24"/>
              </w:rPr>
              <w:t>s</w:t>
            </w:r>
          </w:p>
        </w:tc>
      </w:tr>
      <w:tr w:rsidR="00515E2E" w:rsidTr="00515E2E">
        <w:tc>
          <w:tcPr>
            <w:tcW w:w="6345" w:type="dxa"/>
          </w:tcPr>
          <w:p w:rsidR="00515E2E" w:rsidRPr="00F779E4" w:rsidRDefault="00515E2E" w:rsidP="00547DA4">
            <w:pPr>
              <w:pStyle w:val="En-tt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And Justice for Youth…?</w:t>
            </w:r>
          </w:p>
        </w:tc>
        <w:tc>
          <w:tcPr>
            <w:tcW w:w="2282" w:type="dxa"/>
          </w:tcPr>
          <w:p w:rsidR="00515E2E" w:rsidRPr="00F779E4" w:rsidRDefault="00515E2E" w:rsidP="00547DA4">
            <w:pPr>
              <w:pStyle w:val="En-tte"/>
              <w:rPr>
                <w:rFonts w:ascii="Arial" w:hAnsi="Arial" w:cs="Arial"/>
                <w:sz w:val="24"/>
                <w:szCs w:val="24"/>
              </w:rPr>
            </w:pPr>
            <w:r w:rsidRPr="007B2907">
              <w:rPr>
                <w:rFonts w:ascii="Arial" w:hAnsi="Arial" w:cs="Arial"/>
                <w:sz w:val="24"/>
                <w:szCs w:val="24"/>
              </w:rPr>
              <w:t>Comment/Analysis</w:t>
            </w:r>
          </w:p>
        </w:tc>
        <w:tc>
          <w:tcPr>
            <w:tcW w:w="553" w:type="dxa"/>
          </w:tcPr>
          <w:p w:rsidR="00515E2E" w:rsidRPr="00F779E4" w:rsidRDefault="00515E2E" w:rsidP="00515E2E">
            <w:pPr>
              <w:pStyle w:val="En-tt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6p.</w:t>
            </w:r>
          </w:p>
        </w:tc>
      </w:tr>
      <w:tr w:rsidR="00515E2E" w:rsidTr="00515E2E">
        <w:tc>
          <w:tcPr>
            <w:tcW w:w="6345" w:type="dxa"/>
          </w:tcPr>
          <w:p w:rsidR="00515E2E" w:rsidRPr="00F779E4" w:rsidRDefault="00515E2E" w:rsidP="00547DA4">
            <w:pPr>
              <w:pStyle w:val="En-tte"/>
              <w:rPr>
                <w:rFonts w:ascii="Arial" w:hAnsi="Arial" w:cs="Arial"/>
                <w:sz w:val="24"/>
                <w:szCs w:val="24"/>
              </w:rPr>
            </w:pPr>
            <w:r w:rsidRPr="007B2907">
              <w:rPr>
                <w:rFonts w:ascii="Arial" w:hAnsi="Arial" w:cs="Arial"/>
                <w:sz w:val="24"/>
                <w:szCs w:val="24"/>
              </w:rPr>
              <w:t>Canada’s Stance on Abortion Ignores Reality</w:t>
            </w:r>
          </w:p>
        </w:tc>
        <w:tc>
          <w:tcPr>
            <w:tcW w:w="2282" w:type="dxa"/>
          </w:tcPr>
          <w:p w:rsidR="00515E2E" w:rsidRPr="00F779E4" w:rsidRDefault="00515E2E" w:rsidP="00547DA4">
            <w:pPr>
              <w:pStyle w:val="En-tte"/>
              <w:rPr>
                <w:rFonts w:ascii="Arial" w:hAnsi="Arial" w:cs="Arial"/>
                <w:sz w:val="24"/>
                <w:szCs w:val="24"/>
              </w:rPr>
            </w:pPr>
            <w:r w:rsidRPr="007B2907">
              <w:rPr>
                <w:rFonts w:ascii="Arial" w:hAnsi="Arial" w:cs="Arial"/>
                <w:sz w:val="24"/>
                <w:szCs w:val="24"/>
              </w:rPr>
              <w:t>Opinion Piece</w:t>
            </w:r>
          </w:p>
        </w:tc>
        <w:tc>
          <w:tcPr>
            <w:tcW w:w="553" w:type="dxa"/>
          </w:tcPr>
          <w:p w:rsidR="00515E2E" w:rsidRPr="00F779E4" w:rsidRDefault="00515E2E" w:rsidP="00515E2E">
            <w:pPr>
              <w:pStyle w:val="En-tt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2p.</w:t>
            </w:r>
          </w:p>
        </w:tc>
      </w:tr>
      <w:tr w:rsidR="00515E2E" w:rsidTr="00515E2E">
        <w:tc>
          <w:tcPr>
            <w:tcW w:w="6345" w:type="dxa"/>
          </w:tcPr>
          <w:p w:rsidR="00515E2E" w:rsidRPr="00F779E4" w:rsidRDefault="00515E2E" w:rsidP="00547DA4">
            <w:pPr>
              <w:pStyle w:val="En-tte"/>
              <w:rPr>
                <w:rFonts w:ascii="Arial" w:hAnsi="Arial" w:cs="Arial"/>
                <w:sz w:val="24"/>
                <w:szCs w:val="24"/>
              </w:rPr>
            </w:pPr>
            <w:r w:rsidRPr="007B2907">
              <w:rPr>
                <w:rFonts w:ascii="Arial" w:hAnsi="Arial" w:cs="Arial"/>
                <w:sz w:val="24"/>
                <w:szCs w:val="24"/>
              </w:rPr>
              <w:t>Cellphones Replace Smokes as the Addiction of Choice</w:t>
            </w:r>
          </w:p>
        </w:tc>
        <w:tc>
          <w:tcPr>
            <w:tcW w:w="2282" w:type="dxa"/>
          </w:tcPr>
          <w:p w:rsidR="00515E2E" w:rsidRPr="00F779E4" w:rsidRDefault="00515E2E" w:rsidP="00547DA4">
            <w:pPr>
              <w:pStyle w:val="En-tte"/>
              <w:rPr>
                <w:rFonts w:ascii="Arial" w:hAnsi="Arial" w:cs="Arial"/>
                <w:sz w:val="24"/>
                <w:szCs w:val="24"/>
              </w:rPr>
            </w:pPr>
            <w:r w:rsidRPr="007B2907">
              <w:rPr>
                <w:rFonts w:ascii="Arial" w:hAnsi="Arial" w:cs="Arial"/>
                <w:sz w:val="24"/>
                <w:szCs w:val="24"/>
              </w:rPr>
              <w:t>Opinion Piece</w:t>
            </w:r>
          </w:p>
        </w:tc>
        <w:tc>
          <w:tcPr>
            <w:tcW w:w="553" w:type="dxa"/>
          </w:tcPr>
          <w:p w:rsidR="00515E2E" w:rsidRPr="00F779E4" w:rsidRDefault="00515E2E" w:rsidP="00515E2E">
            <w:pPr>
              <w:pStyle w:val="En-tt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2p.</w:t>
            </w:r>
          </w:p>
        </w:tc>
      </w:tr>
      <w:tr w:rsidR="00515E2E" w:rsidTr="00515E2E">
        <w:tc>
          <w:tcPr>
            <w:tcW w:w="6345" w:type="dxa"/>
          </w:tcPr>
          <w:p w:rsidR="00515E2E" w:rsidRPr="00F779E4" w:rsidRDefault="00515E2E" w:rsidP="00547DA4">
            <w:pPr>
              <w:pStyle w:val="En-tte"/>
              <w:rPr>
                <w:rFonts w:ascii="Arial" w:hAnsi="Arial" w:cs="Arial"/>
                <w:sz w:val="24"/>
                <w:szCs w:val="24"/>
              </w:rPr>
            </w:pPr>
            <w:r w:rsidRPr="007B2907">
              <w:rPr>
                <w:rFonts w:ascii="Arial" w:hAnsi="Arial" w:cs="Arial"/>
                <w:sz w:val="24"/>
                <w:szCs w:val="24"/>
              </w:rPr>
              <w:t>Private Classes Help Children boost their English skills</w:t>
            </w:r>
          </w:p>
        </w:tc>
        <w:tc>
          <w:tcPr>
            <w:tcW w:w="2282" w:type="dxa"/>
          </w:tcPr>
          <w:p w:rsidR="00515E2E" w:rsidRPr="00F779E4" w:rsidRDefault="00515E2E" w:rsidP="00547DA4">
            <w:pPr>
              <w:pStyle w:val="En-tt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Feature Article</w:t>
            </w:r>
          </w:p>
        </w:tc>
        <w:tc>
          <w:tcPr>
            <w:tcW w:w="553" w:type="dxa"/>
          </w:tcPr>
          <w:p w:rsidR="00515E2E" w:rsidRPr="00F779E4" w:rsidRDefault="00515E2E" w:rsidP="00515E2E">
            <w:pPr>
              <w:pStyle w:val="En-tt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3p.</w:t>
            </w:r>
          </w:p>
        </w:tc>
      </w:tr>
      <w:tr w:rsidR="00515E2E" w:rsidTr="00515E2E">
        <w:tc>
          <w:tcPr>
            <w:tcW w:w="6345" w:type="dxa"/>
          </w:tcPr>
          <w:p w:rsidR="00515E2E" w:rsidRPr="00F779E4" w:rsidRDefault="00515E2E" w:rsidP="00547DA4">
            <w:pPr>
              <w:pStyle w:val="En-tte"/>
              <w:rPr>
                <w:rFonts w:ascii="Arial" w:hAnsi="Arial" w:cs="Arial"/>
                <w:sz w:val="24"/>
                <w:szCs w:val="24"/>
              </w:rPr>
            </w:pPr>
            <w:r w:rsidRPr="007B2907">
              <w:rPr>
                <w:rFonts w:ascii="Arial" w:hAnsi="Arial" w:cs="Arial"/>
                <w:sz w:val="24"/>
                <w:szCs w:val="24"/>
              </w:rPr>
              <w:t>And the Oscar Winner Is… Pretty Predictable</w:t>
            </w:r>
          </w:p>
        </w:tc>
        <w:tc>
          <w:tcPr>
            <w:tcW w:w="2282" w:type="dxa"/>
          </w:tcPr>
          <w:p w:rsidR="00515E2E" w:rsidRPr="00F779E4" w:rsidRDefault="00515E2E" w:rsidP="00547DA4">
            <w:pPr>
              <w:pStyle w:val="En-tte"/>
              <w:rPr>
                <w:rFonts w:ascii="Arial" w:hAnsi="Arial" w:cs="Arial"/>
                <w:sz w:val="24"/>
                <w:szCs w:val="24"/>
              </w:rPr>
            </w:pPr>
            <w:r w:rsidRPr="007B2907">
              <w:rPr>
                <w:rFonts w:ascii="Arial" w:hAnsi="Arial" w:cs="Arial"/>
                <w:sz w:val="24"/>
                <w:szCs w:val="24"/>
              </w:rPr>
              <w:t>Opinion Piece</w:t>
            </w:r>
          </w:p>
        </w:tc>
        <w:tc>
          <w:tcPr>
            <w:tcW w:w="553" w:type="dxa"/>
          </w:tcPr>
          <w:p w:rsidR="00515E2E" w:rsidRPr="00F779E4" w:rsidRDefault="00515E2E" w:rsidP="00515E2E">
            <w:pPr>
              <w:pStyle w:val="En-tt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3p.</w:t>
            </w:r>
          </w:p>
        </w:tc>
      </w:tr>
      <w:tr w:rsidR="00515E2E" w:rsidTr="00515E2E">
        <w:tc>
          <w:tcPr>
            <w:tcW w:w="6345" w:type="dxa"/>
          </w:tcPr>
          <w:p w:rsidR="00515E2E" w:rsidRPr="00F779E4" w:rsidRDefault="00515E2E" w:rsidP="00547DA4">
            <w:pPr>
              <w:pStyle w:val="En-tt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</w:t>
            </w:r>
            <w:r w:rsidRPr="007B2907">
              <w:rPr>
                <w:rFonts w:ascii="Arial" w:hAnsi="Arial" w:cs="Arial"/>
                <w:sz w:val="24"/>
                <w:szCs w:val="24"/>
              </w:rPr>
              <w:t>un Control: Crime and the Registry</w:t>
            </w:r>
          </w:p>
        </w:tc>
        <w:tc>
          <w:tcPr>
            <w:tcW w:w="2282" w:type="dxa"/>
          </w:tcPr>
          <w:p w:rsidR="00515E2E" w:rsidRPr="00F779E4" w:rsidRDefault="00515E2E" w:rsidP="00547DA4">
            <w:pPr>
              <w:pStyle w:val="En-tte"/>
              <w:rPr>
                <w:rFonts w:ascii="Arial" w:hAnsi="Arial" w:cs="Arial"/>
                <w:sz w:val="24"/>
                <w:szCs w:val="24"/>
              </w:rPr>
            </w:pPr>
            <w:r w:rsidRPr="007B2907">
              <w:rPr>
                <w:rFonts w:ascii="Arial" w:hAnsi="Arial" w:cs="Arial"/>
                <w:sz w:val="24"/>
                <w:szCs w:val="24"/>
              </w:rPr>
              <w:t>Comment/Analysis</w:t>
            </w:r>
          </w:p>
        </w:tc>
        <w:tc>
          <w:tcPr>
            <w:tcW w:w="553" w:type="dxa"/>
          </w:tcPr>
          <w:p w:rsidR="00515E2E" w:rsidRPr="00F779E4" w:rsidRDefault="00515E2E" w:rsidP="00515E2E">
            <w:pPr>
              <w:pStyle w:val="En-tt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4p.</w:t>
            </w:r>
          </w:p>
        </w:tc>
      </w:tr>
      <w:tr w:rsidR="00515E2E" w:rsidTr="00515E2E">
        <w:tc>
          <w:tcPr>
            <w:tcW w:w="6345" w:type="dxa"/>
          </w:tcPr>
          <w:p w:rsidR="00515E2E" w:rsidRPr="00F779E4" w:rsidRDefault="00515E2E" w:rsidP="00547DA4">
            <w:pPr>
              <w:pStyle w:val="En-tte"/>
              <w:rPr>
                <w:rFonts w:ascii="Arial" w:hAnsi="Arial" w:cs="Arial"/>
                <w:sz w:val="24"/>
                <w:szCs w:val="24"/>
              </w:rPr>
            </w:pPr>
            <w:r w:rsidRPr="007B2907">
              <w:rPr>
                <w:rFonts w:ascii="Arial" w:hAnsi="Arial" w:cs="Arial"/>
                <w:sz w:val="24"/>
                <w:szCs w:val="24"/>
              </w:rPr>
              <w:t>It Has to Stop, ex-</w:t>
            </w:r>
            <w:proofErr w:type="spellStart"/>
            <w:r w:rsidRPr="007B2907">
              <w:rPr>
                <w:rFonts w:ascii="Arial" w:hAnsi="Arial" w:cs="Arial"/>
                <w:sz w:val="24"/>
                <w:szCs w:val="24"/>
              </w:rPr>
              <w:t>Hab</w:t>
            </w:r>
            <w:proofErr w:type="spellEnd"/>
            <w:r w:rsidRPr="007B2907">
              <w:rPr>
                <w:rFonts w:ascii="Arial" w:hAnsi="Arial" w:cs="Arial"/>
                <w:sz w:val="24"/>
                <w:szCs w:val="24"/>
              </w:rPr>
              <w:t xml:space="preserve"> Tells Students</w:t>
            </w:r>
          </w:p>
        </w:tc>
        <w:tc>
          <w:tcPr>
            <w:tcW w:w="2282" w:type="dxa"/>
          </w:tcPr>
          <w:p w:rsidR="00515E2E" w:rsidRPr="00F779E4" w:rsidRDefault="00515E2E" w:rsidP="00547DA4">
            <w:pPr>
              <w:pStyle w:val="En-tte"/>
              <w:rPr>
                <w:rFonts w:ascii="Arial" w:hAnsi="Arial" w:cs="Arial"/>
                <w:sz w:val="24"/>
                <w:szCs w:val="24"/>
              </w:rPr>
            </w:pPr>
            <w:r w:rsidRPr="007B2907">
              <w:rPr>
                <w:rFonts w:ascii="Arial" w:hAnsi="Arial" w:cs="Arial"/>
                <w:sz w:val="24"/>
                <w:szCs w:val="24"/>
              </w:rPr>
              <w:t>Feature Article</w:t>
            </w:r>
          </w:p>
        </w:tc>
        <w:tc>
          <w:tcPr>
            <w:tcW w:w="553" w:type="dxa"/>
          </w:tcPr>
          <w:p w:rsidR="00515E2E" w:rsidRPr="00F779E4" w:rsidRDefault="00515E2E" w:rsidP="00515E2E">
            <w:pPr>
              <w:pStyle w:val="En-tt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2p.</w:t>
            </w:r>
          </w:p>
        </w:tc>
      </w:tr>
      <w:tr w:rsidR="00515E2E" w:rsidTr="00515E2E">
        <w:tc>
          <w:tcPr>
            <w:tcW w:w="6345" w:type="dxa"/>
          </w:tcPr>
          <w:p w:rsidR="00515E2E" w:rsidRPr="00F779E4" w:rsidRDefault="00515E2E" w:rsidP="00547DA4">
            <w:pPr>
              <w:pStyle w:val="En-tte"/>
              <w:rPr>
                <w:rFonts w:ascii="Arial" w:hAnsi="Arial" w:cs="Arial"/>
                <w:sz w:val="24"/>
                <w:szCs w:val="24"/>
              </w:rPr>
            </w:pPr>
            <w:r w:rsidRPr="007B2907">
              <w:rPr>
                <w:rFonts w:ascii="Arial" w:hAnsi="Arial" w:cs="Arial"/>
                <w:sz w:val="24"/>
                <w:szCs w:val="24"/>
              </w:rPr>
              <w:t>Practice Makes Perfect at McGill Lab</w:t>
            </w:r>
          </w:p>
        </w:tc>
        <w:tc>
          <w:tcPr>
            <w:tcW w:w="2282" w:type="dxa"/>
          </w:tcPr>
          <w:p w:rsidR="00515E2E" w:rsidRPr="00F779E4" w:rsidRDefault="00515E2E" w:rsidP="00547DA4">
            <w:pPr>
              <w:pStyle w:val="En-tte"/>
              <w:rPr>
                <w:rFonts w:ascii="Arial" w:hAnsi="Arial" w:cs="Arial"/>
                <w:sz w:val="24"/>
                <w:szCs w:val="24"/>
              </w:rPr>
            </w:pPr>
            <w:r w:rsidRPr="007B2907">
              <w:rPr>
                <w:rFonts w:ascii="Arial" w:hAnsi="Arial" w:cs="Arial"/>
                <w:sz w:val="24"/>
                <w:szCs w:val="24"/>
              </w:rPr>
              <w:t>Feature Article</w:t>
            </w:r>
          </w:p>
        </w:tc>
        <w:tc>
          <w:tcPr>
            <w:tcW w:w="553" w:type="dxa"/>
          </w:tcPr>
          <w:p w:rsidR="00515E2E" w:rsidRPr="00F779E4" w:rsidRDefault="00515E2E" w:rsidP="00515E2E">
            <w:pPr>
              <w:pStyle w:val="En-tt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3p.</w:t>
            </w:r>
          </w:p>
        </w:tc>
      </w:tr>
      <w:tr w:rsidR="00515E2E" w:rsidTr="00515E2E">
        <w:tc>
          <w:tcPr>
            <w:tcW w:w="6345" w:type="dxa"/>
          </w:tcPr>
          <w:p w:rsidR="00515E2E" w:rsidRPr="007B2907" w:rsidRDefault="00515E2E" w:rsidP="00547DA4">
            <w:pPr>
              <w:pStyle w:val="En-tt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Ottawa’s Coldest Winter in 20 Years</w:t>
            </w:r>
          </w:p>
        </w:tc>
        <w:tc>
          <w:tcPr>
            <w:tcW w:w="2282" w:type="dxa"/>
          </w:tcPr>
          <w:p w:rsidR="00515E2E" w:rsidRPr="007B2907" w:rsidRDefault="00515E2E" w:rsidP="00547DA4">
            <w:pPr>
              <w:pStyle w:val="En-tt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Feature Article</w:t>
            </w:r>
          </w:p>
        </w:tc>
        <w:tc>
          <w:tcPr>
            <w:tcW w:w="553" w:type="dxa"/>
          </w:tcPr>
          <w:p w:rsidR="00515E2E" w:rsidRPr="007B2907" w:rsidRDefault="00515E2E" w:rsidP="00515E2E">
            <w:pPr>
              <w:pStyle w:val="En-tt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2p.</w:t>
            </w:r>
          </w:p>
        </w:tc>
      </w:tr>
      <w:tr w:rsidR="00515E2E" w:rsidTr="00515E2E">
        <w:tc>
          <w:tcPr>
            <w:tcW w:w="6345" w:type="dxa"/>
          </w:tcPr>
          <w:p w:rsidR="00515E2E" w:rsidRPr="007B2907" w:rsidRDefault="00515E2E" w:rsidP="00547DA4">
            <w:pPr>
              <w:pStyle w:val="En-tte"/>
              <w:rPr>
                <w:rFonts w:ascii="Arial" w:hAnsi="Arial" w:cs="Arial"/>
                <w:sz w:val="24"/>
                <w:szCs w:val="24"/>
              </w:rPr>
            </w:pPr>
            <w:r w:rsidRPr="007B2907">
              <w:rPr>
                <w:rFonts w:ascii="Arial" w:hAnsi="Arial" w:cs="Arial"/>
                <w:sz w:val="24"/>
                <w:szCs w:val="24"/>
              </w:rPr>
              <w:t>Half-French, Half-English, Completely Hilarious</w:t>
            </w:r>
          </w:p>
        </w:tc>
        <w:tc>
          <w:tcPr>
            <w:tcW w:w="2282" w:type="dxa"/>
          </w:tcPr>
          <w:p w:rsidR="00515E2E" w:rsidRPr="007B2907" w:rsidRDefault="00515E2E" w:rsidP="00547DA4">
            <w:pPr>
              <w:pStyle w:val="En-tte"/>
              <w:rPr>
                <w:rFonts w:ascii="Arial" w:hAnsi="Arial" w:cs="Arial"/>
                <w:sz w:val="24"/>
                <w:szCs w:val="24"/>
              </w:rPr>
            </w:pPr>
            <w:r w:rsidRPr="007B2907">
              <w:rPr>
                <w:rFonts w:ascii="Arial" w:hAnsi="Arial" w:cs="Arial"/>
                <w:sz w:val="24"/>
                <w:szCs w:val="24"/>
              </w:rPr>
              <w:t>Opinion  Piece</w:t>
            </w:r>
          </w:p>
        </w:tc>
        <w:tc>
          <w:tcPr>
            <w:tcW w:w="553" w:type="dxa"/>
          </w:tcPr>
          <w:p w:rsidR="00515E2E" w:rsidRPr="007B2907" w:rsidRDefault="00515E2E" w:rsidP="00515E2E">
            <w:pPr>
              <w:pStyle w:val="En-tt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3p.</w:t>
            </w:r>
          </w:p>
        </w:tc>
      </w:tr>
    </w:tbl>
    <w:p w:rsidR="00A05D60" w:rsidRDefault="00A05D60" w:rsidP="006E7561">
      <w:pPr>
        <w:pStyle w:val="En-tte"/>
        <w:rPr>
          <w:rFonts w:ascii="Bradley Hand ITC" w:hAnsi="Bradley Hand ITC"/>
          <w:sz w:val="24"/>
          <w:szCs w:val="24"/>
        </w:rPr>
      </w:pPr>
    </w:p>
    <w:sectPr w:rsidR="00A05D60" w:rsidSect="00A05D60">
      <w:headerReference w:type="default" r:id="rId8"/>
      <w:footerReference w:type="default" r:id="rId9"/>
      <w:pgSz w:w="12240" w:h="15840"/>
      <w:pgMar w:top="-1985" w:right="1800" w:bottom="1440" w:left="1800" w:header="397" w:footer="57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0B7" w:rsidRDefault="005770B7" w:rsidP="00547DA4">
      <w:pPr>
        <w:spacing w:after="0" w:line="240" w:lineRule="auto"/>
      </w:pPr>
      <w:r>
        <w:separator/>
      </w:r>
    </w:p>
  </w:endnote>
  <w:endnote w:type="continuationSeparator" w:id="0">
    <w:p w:rsidR="005770B7" w:rsidRDefault="005770B7" w:rsidP="00547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3BC" w:rsidRPr="007C53BC" w:rsidRDefault="00547DA4" w:rsidP="001443D9">
    <w:pPr>
      <w:spacing w:after="0" w:line="240" w:lineRule="auto"/>
      <w:jc w:val="center"/>
      <w:rPr>
        <w:rFonts w:ascii="Bradley Hand ITC" w:hAnsi="Bradley Hand ITC"/>
        <w:b/>
        <w:sz w:val="12"/>
        <w:szCs w:val="12"/>
      </w:rPr>
    </w:pPr>
    <w:r w:rsidRPr="007C53BC">
      <w:rPr>
        <w:rFonts w:ascii="Bradley Hand ITC" w:hAnsi="Bradley Hand ITC"/>
        <w:b/>
        <w:sz w:val="12"/>
        <w:szCs w:val="12"/>
      </w:rPr>
      <w:t xml:space="preserve">Diane </w:t>
    </w:r>
    <w:proofErr w:type="spellStart"/>
    <w:r w:rsidRPr="007C53BC">
      <w:rPr>
        <w:rFonts w:ascii="Bradley Hand ITC" w:hAnsi="Bradley Hand ITC"/>
        <w:b/>
        <w:sz w:val="12"/>
        <w:szCs w:val="12"/>
      </w:rPr>
      <w:t>Philipatos</w:t>
    </w:r>
    <w:proofErr w:type="spellEnd"/>
    <w:r w:rsidR="007C53BC">
      <w:rPr>
        <w:rFonts w:ascii="Bradley Hand ITC" w:hAnsi="Bradley Hand ITC"/>
        <w:b/>
        <w:sz w:val="12"/>
        <w:szCs w:val="12"/>
      </w:rPr>
      <w:t xml:space="preserve">, </w:t>
    </w:r>
    <w:proofErr w:type="spellStart"/>
    <w:r w:rsidRPr="007C53BC">
      <w:rPr>
        <w:rFonts w:ascii="Bradley Hand ITC" w:hAnsi="Bradley Hand ITC"/>
        <w:b/>
        <w:sz w:val="12"/>
        <w:szCs w:val="12"/>
      </w:rPr>
      <w:t>Académie</w:t>
    </w:r>
    <w:proofErr w:type="spellEnd"/>
    <w:r w:rsidRPr="007C53BC">
      <w:rPr>
        <w:rFonts w:ascii="Bradley Hand ITC" w:hAnsi="Bradley Hand ITC"/>
        <w:b/>
        <w:sz w:val="12"/>
        <w:szCs w:val="12"/>
      </w:rPr>
      <w:t xml:space="preserve"> </w:t>
    </w:r>
    <w:proofErr w:type="spellStart"/>
    <w:r w:rsidRPr="007C53BC">
      <w:rPr>
        <w:rFonts w:ascii="Bradley Hand ITC" w:hAnsi="Bradley Hand ITC"/>
        <w:b/>
        <w:sz w:val="12"/>
        <w:szCs w:val="12"/>
      </w:rPr>
      <w:t>Dunton</w:t>
    </w:r>
    <w:proofErr w:type="spellEnd"/>
    <w:r w:rsidRPr="007C53BC">
      <w:rPr>
        <w:rFonts w:ascii="Bradley Hand ITC" w:hAnsi="Bradley Hand ITC"/>
        <w:b/>
        <w:sz w:val="12"/>
        <w:szCs w:val="12"/>
      </w:rPr>
      <w:t xml:space="preserve"> </w:t>
    </w:r>
    <w:r w:rsidR="007C53BC">
      <w:rPr>
        <w:rFonts w:ascii="Bradley Hand ITC" w:hAnsi="Bradley Hand ITC"/>
        <w:b/>
        <w:sz w:val="12"/>
        <w:szCs w:val="12"/>
      </w:rPr>
      <w:t xml:space="preserve">and </w:t>
    </w:r>
    <w:r w:rsidRPr="007C53BC">
      <w:rPr>
        <w:rFonts w:ascii="Bradley Hand ITC" w:hAnsi="Bradley Hand ITC"/>
        <w:b/>
        <w:sz w:val="12"/>
        <w:szCs w:val="12"/>
      </w:rPr>
      <w:t xml:space="preserve">Annie Dumay, </w:t>
    </w:r>
    <w:r w:rsidR="007C53BC">
      <w:rPr>
        <w:rFonts w:ascii="Bradley Hand ITC" w:hAnsi="Bradley Hand ITC"/>
        <w:b/>
        <w:sz w:val="12"/>
        <w:szCs w:val="12"/>
      </w:rPr>
      <w:t xml:space="preserve">ESL pedagogical advisor, 2014 - </w:t>
    </w:r>
    <w:r w:rsidR="007C53BC" w:rsidRPr="007C53BC">
      <w:rPr>
        <w:rFonts w:ascii="Bradley Hand ITC" w:hAnsi="Bradley Hand ITC"/>
        <w:b/>
        <w:sz w:val="12"/>
        <w:szCs w:val="12"/>
      </w:rPr>
      <w:t>CSDM</w:t>
    </w:r>
  </w:p>
  <w:p w:rsidR="00547DA4" w:rsidRPr="007C53BC" w:rsidRDefault="00547DA4" w:rsidP="00547DA4">
    <w:pPr>
      <w:spacing w:after="0" w:line="240" w:lineRule="auto"/>
      <w:rPr>
        <w:rFonts w:ascii="Bradley Hand ITC" w:hAnsi="Bradley Hand ITC"/>
        <w:b/>
        <w:sz w:val="12"/>
        <w:szCs w:val="12"/>
      </w:rPr>
    </w:pPr>
  </w:p>
  <w:p w:rsidR="00547DA4" w:rsidRPr="00145BDE" w:rsidRDefault="00547DA4" w:rsidP="00547DA4">
    <w:pPr>
      <w:spacing w:after="0" w:line="240" w:lineRule="auto"/>
      <w:rPr>
        <w:rFonts w:ascii="Bradley Hand ITC" w:hAnsi="Bradley Hand ITC" w:cs="Arial"/>
        <w:b/>
        <w:sz w:val="28"/>
        <w:szCs w:val="20"/>
      </w:rPr>
    </w:pPr>
  </w:p>
  <w:p w:rsidR="00547DA4" w:rsidRDefault="00547DA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0B7" w:rsidRDefault="005770B7" w:rsidP="00547DA4">
      <w:pPr>
        <w:spacing w:after="0" w:line="240" w:lineRule="auto"/>
      </w:pPr>
      <w:r>
        <w:separator/>
      </w:r>
    </w:p>
  </w:footnote>
  <w:footnote w:type="continuationSeparator" w:id="0">
    <w:p w:rsidR="005770B7" w:rsidRDefault="005770B7" w:rsidP="00547D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D60" w:rsidRDefault="00A05D60" w:rsidP="00A05D60">
    <w:pPr>
      <w:spacing w:line="240" w:lineRule="auto"/>
      <w:rPr>
        <w:rFonts w:ascii="Bradley Hand ITC" w:hAnsi="Bradley Hand ITC"/>
        <w:b/>
        <w:sz w:val="24"/>
        <w:szCs w:val="24"/>
      </w:rPr>
    </w:pPr>
  </w:p>
  <w:p w:rsidR="00834DFE" w:rsidRPr="00852C75" w:rsidRDefault="00547DA4" w:rsidP="00A05D60">
    <w:pPr>
      <w:spacing w:line="240" w:lineRule="auto"/>
      <w:jc w:val="center"/>
      <w:rPr>
        <w:rFonts w:ascii="Bradley Hand ITC" w:hAnsi="Bradley Hand ITC"/>
        <w:b/>
        <w:sz w:val="32"/>
        <w:szCs w:val="32"/>
      </w:rPr>
    </w:pPr>
    <w:r w:rsidRPr="00852C75">
      <w:rPr>
        <w:rFonts w:ascii="Bradley Hand ITC" w:hAnsi="Bradley Hand ITC"/>
        <w:b/>
        <w:sz w:val="32"/>
        <w:szCs w:val="32"/>
      </w:rPr>
      <w:t>Article Writing</w:t>
    </w:r>
    <w:r w:rsidR="0035349E">
      <w:rPr>
        <w:rFonts w:ascii="Bradley Hand ITC" w:hAnsi="Bradley Hand ITC"/>
        <w:b/>
        <w:sz w:val="32"/>
        <w:szCs w:val="32"/>
      </w:rPr>
      <w:t xml:space="preserve"> Toolkit</w:t>
    </w:r>
  </w:p>
  <w:p w:rsidR="00547DA4" w:rsidRPr="002D7F3C" w:rsidRDefault="00547DA4" w:rsidP="00547DA4">
    <w:pPr>
      <w:spacing w:line="240" w:lineRule="auto"/>
      <w:jc w:val="center"/>
      <w:rPr>
        <w:rFonts w:ascii="Bradley Hand ITC" w:hAnsi="Bradley Hand ITC"/>
        <w:b/>
        <w:sz w:val="24"/>
        <w:szCs w:val="24"/>
      </w:rPr>
    </w:pPr>
    <w:r w:rsidRPr="002D7F3C">
      <w:rPr>
        <w:rFonts w:ascii="Bradley Hand ITC" w:hAnsi="Bradley Hand ITC"/>
        <w:b/>
        <w:sz w:val="24"/>
        <w:szCs w:val="24"/>
      </w:rPr>
      <w:t xml:space="preserve">News Article, Editorial, Feature Article, Comment/Analysis, Opinion </w:t>
    </w:r>
    <w:r w:rsidR="005B6E0A">
      <w:rPr>
        <w:rFonts w:ascii="Bradley Hand ITC" w:hAnsi="Bradley Hand ITC"/>
        <w:b/>
        <w:sz w:val="24"/>
        <w:szCs w:val="24"/>
      </w:rPr>
      <w:t>Piece</w:t>
    </w:r>
  </w:p>
  <w:p w:rsidR="00547DA4" w:rsidRDefault="00547DA4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876D3"/>
    <w:multiLevelType w:val="hybridMultilevel"/>
    <w:tmpl w:val="7F9873E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19E"/>
    <w:rsid w:val="000F4AEE"/>
    <w:rsid w:val="00100778"/>
    <w:rsid w:val="001271C6"/>
    <w:rsid w:val="00143681"/>
    <w:rsid w:val="001443D9"/>
    <w:rsid w:val="00204831"/>
    <w:rsid w:val="00296CF9"/>
    <w:rsid w:val="0035349E"/>
    <w:rsid w:val="0040179B"/>
    <w:rsid w:val="0045719E"/>
    <w:rsid w:val="00490D46"/>
    <w:rsid w:val="0051012F"/>
    <w:rsid w:val="00515E2E"/>
    <w:rsid w:val="00517561"/>
    <w:rsid w:val="00547DA4"/>
    <w:rsid w:val="005770B7"/>
    <w:rsid w:val="005B6E0A"/>
    <w:rsid w:val="006445A8"/>
    <w:rsid w:val="006E7561"/>
    <w:rsid w:val="007526C5"/>
    <w:rsid w:val="007B2907"/>
    <w:rsid w:val="007C53BC"/>
    <w:rsid w:val="00834DFE"/>
    <w:rsid w:val="00852C75"/>
    <w:rsid w:val="00934AF3"/>
    <w:rsid w:val="00974DAF"/>
    <w:rsid w:val="00A05D60"/>
    <w:rsid w:val="00A312CE"/>
    <w:rsid w:val="00A95ED6"/>
    <w:rsid w:val="00CD040C"/>
    <w:rsid w:val="00D7110D"/>
    <w:rsid w:val="00D71CE7"/>
    <w:rsid w:val="00DA7A93"/>
    <w:rsid w:val="00F71937"/>
    <w:rsid w:val="00F779E4"/>
    <w:rsid w:val="00FE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DA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47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47DA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47DA4"/>
  </w:style>
  <w:style w:type="paragraph" w:styleId="Pieddepage">
    <w:name w:val="footer"/>
    <w:basedOn w:val="Normal"/>
    <w:link w:val="PieddepageCar"/>
    <w:uiPriority w:val="99"/>
    <w:unhideWhenUsed/>
    <w:rsid w:val="00547DA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47D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DA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47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47DA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47DA4"/>
  </w:style>
  <w:style w:type="paragraph" w:styleId="Pieddepage">
    <w:name w:val="footer"/>
    <w:basedOn w:val="Normal"/>
    <w:link w:val="PieddepageCar"/>
    <w:uiPriority w:val="99"/>
    <w:unhideWhenUsed/>
    <w:rsid w:val="00547DA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47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CSDM</Company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CSDM</dc:creator>
  <cp:lastModifiedBy>Jose Pinard</cp:lastModifiedBy>
  <cp:revision>2</cp:revision>
  <cp:lastPrinted>2014-03-25T14:42:00Z</cp:lastPrinted>
  <dcterms:created xsi:type="dcterms:W3CDTF">2016-03-29T12:14:00Z</dcterms:created>
  <dcterms:modified xsi:type="dcterms:W3CDTF">2016-03-29T12:14:00Z</dcterms:modified>
</cp:coreProperties>
</file>